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378</w:t>
      </w:r>
    </w:p>
    <w:p>
      <w:r>
        <w:t>Bundesgericht (BGE), 1970-06-16, FR</w:t>
      </w:r>
    </w:p>
    <w:p>
      <w:r>
        <w:rPr>
          <w:b/>
        </w:rPr>
        <w:t xml:space="preserve">Quelle: </w:t>
      </w:r>
      <w:r>
        <w:t>https://mcp.opencaselaw.ch/entscheid/bge_96 II 378</w:t>
      </w:r>
    </w:p>
    <w:p>
      <w:r>
        <w:t>FR: ATF 96 II 378</w:t>
      </w:r>
    </w:p>
    <w:p>
      <w:r>
        <w:t>IT: DTF 96 II 378</w:t>
      </w:r>
    </w:p>
    <w:p>
      <w:pPr>
        <w:pStyle w:val="Heading2"/>
      </w:pPr>
      <w:r>
        <w:t>Regeste</w:t>
      </w:r>
    </w:p>
    <w:p>
      <w:r>
        <w:t>Regeste Verpfändung eines Wechsels. Art. 1007 OR. - Jeder Wechselinhaber kann sich auf diese Bestimmung berufen (Erw. 2). - Der Annehmende kann dem Aussteller die Einreden aus dem Grundgeschäft entgegenhalten (Erw. 2). Art. 884 ZGB. - Verstecktes Pfandindossament (Erw. 3). - Untergang des Pfandrechtes wegen Untergangs der gesicherten Forderung (Erw. 4). Art. 8 ZGB. Der Wechselschuldner hat zu beweisen, dass der Wechsel für eine bestimmte Forderung verpfändet worden und dass diese Forderung untergegangen ist; dagegen obliegt dem Pfandgläubiger der Beweis, dass die Sicherung durch eine nach der Verpfändung getroffene Abrede auf neue Forderungen ausgedehnt worden ist (Erw. 5).</w:t>
      </w:r>
    </w:p>
    <w:p>
      <w:pPr>
        <w:pStyle w:val="Heading2"/>
      </w:pPr>
      <w:r>
        <w:t>Erwägungen</w:t>
      </w:r>
    </w:p>
    <w:p>
      <w:r>
        <w:rPr>
          <w:b/>
        </w:rPr>
        <w:t>E. 1</w:t>
      </w:r>
    </w:p>
    <w:p>
      <w:r>
        <w:t>La cour cantonale a écarté à juste titre l'exception tirée de l'art. 1000 CO. Il n'y a pas lieu de revenir à cette appréciation, qui n'est pas critiquée par les parties. Les griefs du recourant touchant le fardeau de la preuve relative à la mauvaise foi ou au dol du porteur, ainsi qu'au moment où l'on se reporte pour apprécier ces éléments, sont dès lors dépourvus de pertinence.</w:t>
      </w:r>
    </w:p>
    <w:p>
      <w:r>
        <w:rPr>
          <w:b/>
        </w:rPr>
        <w:t>E. 2</w:t>
      </w:r>
    </w:p>
    <w:p>
      <w:r>
        <w:t>Les premiers juges se sont fondés sur l'art. 1007 CO pour admettre l'action en libération de dette des demanderesses. Cette disposition, bien que figurant parmi celles qui traitent de l'endossement, ne vaut pas pour le seul endossataire; elle s'applique au bénéfice de tout porteur, et notamment à celui du preneur de la lettre de change (ARMINJON ET CARRY, La lettre de change et le billet à ordre, 1938, no 331 in fine; STRANZ, Wechselgesetz, 14e éd., 1952, 1. a al. 2 ad art. 17; LESCOT ET ROBLOT, Les effets de commerce, 1953, vol. 1, no 297). En vertu de l'art. 1007 CO, le preneur de bonne foi ne peut se voir opposer les exceptions fondées sur les rapports personnels de l'accepteur avec le tireur. Cette disposition ne prescrit pas à l'égard du preneur l'inopposabilité des exceptions tirées du rapport de droit sur la base duquel la lettre de change a été émise. Une telle prescription ne trouverait aucun fondement dans la ratio legis. Le principe de l'inopposabilité des exceptions consacré par l'art. 1007 CO a notamment pour but de protéger le porteur de bonne foi (ARMINJON ET CARRY, op.cit., no 331; STRANZ, op.cit., n. 1 al. 1 ad art. 17). Or le preneur connaît les exceptions qui peuvent être tirées du rapport fondamental, auquel il est partie avec le tireur, et n'a pas à être protégé contre elles. L'objection soulevée par l'arrêt RO 58 II 159 (consid. 1 in BGE 96 II 378 S. 382 fine) contre l'opposabilité desdites exceptions à l'endossataire, qui n'est pas partie au rapport de base, ne vaut pas pour le preneur. En conséquence, l'accepteur peut opposer au preneur les exceptions qui dérivent du rapport fondamental, et paralyser de cette façon l'exercice de l'action cambiaire (ARMINJON ET CARRY, op.cit., no 334, p. 376).</w:t>
      </w:r>
    </w:p>
    <w:p>
      <w:r>
        <w:rPr>
          <w:b/>
        </w:rPr>
        <w:t>E. 3</w:t>
      </w:r>
    </w:p>
    <w:p>
      <w:r>
        <w:t>Il faut se reporter à la convention passée le 15 février 1966 entre le recourant et Marcel Duboux pour déterminer la nature et la portée du rapport sur la base duquel a été émise la lettre de change du 5 octobre 1966. D'après la convention, cet effet était remis au recourant en garantie d'une créance de 281 000 fr., montant correspondant aux deux traites de 100 000 fr. et 181 000 fr. qu'il avait avalisées et s'exposait ainsi à payer au porteur. Il s'agissait donc d'un contrat de gage. Le gage a été constitué conformément aux règles sur le nantissement et l'engagement des titres à ordre (OFTINGER, n. 84 ad art. 884 CC, 30-40 et 69 ad art. 901 CC). La remise au recourant de la lettre de change par le tireur équivalait à un endossement pignoratif occulte (OFTINGER, n. 83 ad art. 901 CC).</w:t>
      </w:r>
    </w:p>
    <w:p>
      <w:r>
        <w:rPr>
          <w:b/>
        </w:rPr>
        <w:t>E. 4</w:t>
      </w:r>
    </w:p>
    <w:p>
      <w:r>
        <w:t>Il est constant que les deux lettres de change de 100 000 fr. et 181 000 fr. n'ont pas été présentées au paiement au défendeur et que la créance en garantie de laquelle a été remis l'effet de change litigieux est éteinte au sens de l'art. 114 al. 1 CO. Cette extinction entraîne celle du droit de gage. Le défendeur n'avait dès lors plus de droit sur l'effet de change. Il devait le restituer à Marcel Duboux, conformément à l'art. 889 al. 1 CC (ARMINJON ET CARRY, op.cit., no 242, p. 276; STRANZ, n. 9 al. 1 ad art. 19). Quant aux intimées, elles n'avaient pas qualité pour demander la remise du titre sur lequel elles ne possédaient aucun droit. Le recourant se prévaut donc à tort de leur passivité. Il se méprend sur l'opinion de CARRY (FJS 472) qu'il cite à contresens. Cet auteur mentionne l'obligation du titulaire de la créance causale - ici, le recourant - de restituer le titre intact au débiteur - soit Marcel Duboux.</w:t>
      </w:r>
    </w:p>
    <w:p>
      <w:r>
        <w:rPr>
          <w:b/>
        </w:rPr>
        <w:t>E. 5</w:t>
      </w:r>
    </w:p>
    <w:p>
      <w:r>
        <w:t>Le recourant soutient qu'en vertu d'un accord verbal conclu en mai 1966 avec Marcel Duboux, l'effet de change litigieux devait garantir de nouvelles créances, postérieures à la convention du 15 février 1966. Il fait grief à la cour cantonale d'avoir mis à sa charge la preuve de cet accord; selon lui, il incombait aux intimées d'en établir l'inexistence. BGE 96 II 378 S. 383 Cette argumentation repose sur une violation prétendue de l'art. 8 CC. D'après cette disposition, il appartient au débiteur de change qui soulève une exception de prouver les faits dont il entend la déduire. Les intimées ont satisfait à cette exigence: elles ont démontré que l'effet de change litigieux avait été remis au recourant en garantie d'une créance déterminée; elles ont établi en outre l'extinction de cette créance. Elles n'avaient pas d'autre preuve à fournir. Il incombait au recourant de démontrer l'existence d'une nouvelle convention, postérieure à celle du 15 février 1966, consacrant une extension de la garantie à des créances nées après la constitution du gage (cf. par analogie STRANZ, n. 40 al. 3 ad art. 17). Or il ne prétend pas avoir apporté cette preuve ou en avoir été empêché en méconnaissance des dispositions fédérales en la matière. Ainsi, le grief tiré de l'absence de constatations, dans l'arrêt déféré, sur l'existence des créances alléguées dans le cadre de cette prétendue convention se révèle dépourvu de toute pertinence.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